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4C841" w14:textId="64600C57" w:rsidR="00260D42" w:rsidRPr="00260D42" w:rsidRDefault="00260D42" w:rsidP="00260D42">
      <w:pPr>
        <w:jc w:val="center"/>
        <w:rPr>
          <w:b/>
          <w:bCs/>
          <w:sz w:val="40"/>
          <w:szCs w:val="40"/>
        </w:rPr>
      </w:pPr>
      <w:r w:rsidRPr="00260D42">
        <w:rPr>
          <w:b/>
          <w:bCs/>
          <w:sz w:val="40"/>
          <w:szCs w:val="40"/>
        </w:rPr>
        <w:t>Civic Campus</w:t>
      </w:r>
      <w:r>
        <w:rPr>
          <w:b/>
          <w:bCs/>
          <w:sz w:val="40"/>
          <w:szCs w:val="40"/>
        </w:rPr>
        <w:t xml:space="preserve"> Actions</w:t>
      </w:r>
    </w:p>
    <w:tbl>
      <w:tblPr>
        <w:tblStyle w:val="TableGrid"/>
        <w:tblW w:w="9463" w:type="dxa"/>
        <w:tblLook w:val="04A0" w:firstRow="1" w:lastRow="0" w:firstColumn="1" w:lastColumn="0" w:noHBand="0" w:noVBand="1"/>
      </w:tblPr>
      <w:tblGrid>
        <w:gridCol w:w="1774"/>
        <w:gridCol w:w="6051"/>
        <w:gridCol w:w="1638"/>
      </w:tblGrid>
      <w:tr w:rsidR="00594F05" w14:paraId="5B214B4E" w14:textId="163EDF29" w:rsidTr="00260D42">
        <w:tc>
          <w:tcPr>
            <w:tcW w:w="1774" w:type="dxa"/>
          </w:tcPr>
          <w:p w14:paraId="4C708FE8" w14:textId="21280AD8" w:rsidR="00594F05" w:rsidRDefault="00594F05" w:rsidP="00CF50A5">
            <w:pPr>
              <w:rPr>
                <w:b/>
                <w:bCs/>
              </w:rPr>
            </w:pPr>
            <w:r>
              <w:rPr>
                <w:b/>
                <w:bCs/>
              </w:rPr>
              <w:t>Date</w:t>
            </w:r>
          </w:p>
        </w:tc>
        <w:tc>
          <w:tcPr>
            <w:tcW w:w="6051" w:type="dxa"/>
          </w:tcPr>
          <w:p w14:paraId="154D8CDA" w14:textId="6DFA8DE9" w:rsidR="00594F05" w:rsidRDefault="00260D42" w:rsidP="00CF50A5">
            <w:pPr>
              <w:rPr>
                <w:b/>
                <w:bCs/>
              </w:rPr>
            </w:pPr>
            <w:r>
              <w:rPr>
                <w:b/>
                <w:bCs/>
              </w:rPr>
              <w:t>Item/Action</w:t>
            </w:r>
          </w:p>
        </w:tc>
        <w:tc>
          <w:tcPr>
            <w:tcW w:w="1638" w:type="dxa"/>
          </w:tcPr>
          <w:p w14:paraId="0503F466" w14:textId="38741A74" w:rsidR="00594F05" w:rsidRDefault="00260D42" w:rsidP="00CF50A5">
            <w:pPr>
              <w:rPr>
                <w:b/>
                <w:bCs/>
              </w:rPr>
            </w:pPr>
            <w:r>
              <w:rPr>
                <w:b/>
                <w:bCs/>
              </w:rPr>
              <w:t>Related Doc.</w:t>
            </w:r>
          </w:p>
        </w:tc>
      </w:tr>
      <w:tr w:rsidR="00260D42" w14:paraId="5AE649EF" w14:textId="77777777" w:rsidTr="00260D42">
        <w:tc>
          <w:tcPr>
            <w:tcW w:w="1774" w:type="dxa"/>
            <w:shd w:val="clear" w:color="auto" w:fill="BFBFBF" w:themeFill="background1" w:themeFillShade="BF"/>
          </w:tcPr>
          <w:p w14:paraId="1AC104A6" w14:textId="2EA67FCD" w:rsidR="00260D42" w:rsidRDefault="00260D42" w:rsidP="006775C0">
            <w:r>
              <w:t>2022</w:t>
            </w:r>
          </w:p>
        </w:tc>
        <w:tc>
          <w:tcPr>
            <w:tcW w:w="6051" w:type="dxa"/>
            <w:shd w:val="clear" w:color="auto" w:fill="BFBFBF" w:themeFill="background1" w:themeFillShade="BF"/>
          </w:tcPr>
          <w:p w14:paraId="79DC0455" w14:textId="77777777" w:rsidR="00260D42" w:rsidRDefault="00260D42" w:rsidP="006775C0"/>
        </w:tc>
        <w:tc>
          <w:tcPr>
            <w:tcW w:w="1638" w:type="dxa"/>
            <w:shd w:val="clear" w:color="auto" w:fill="BFBFBF" w:themeFill="background1" w:themeFillShade="BF"/>
          </w:tcPr>
          <w:p w14:paraId="089F1B48" w14:textId="77777777" w:rsidR="00260D42" w:rsidRDefault="00260D42" w:rsidP="006775C0"/>
        </w:tc>
      </w:tr>
      <w:tr w:rsidR="00594F05" w14:paraId="49B78C26" w14:textId="03C3B1FE" w:rsidTr="00260D42">
        <w:tc>
          <w:tcPr>
            <w:tcW w:w="1774" w:type="dxa"/>
          </w:tcPr>
          <w:p w14:paraId="42C93608" w14:textId="2CC6543B" w:rsidR="00594F05" w:rsidRPr="006C7B5C" w:rsidRDefault="00594F05" w:rsidP="006C7B5C">
            <w:r w:rsidRPr="006C7B5C">
              <w:t>08.09.22</w:t>
            </w:r>
            <w:r>
              <w:t xml:space="preserve"> CSS</w:t>
            </w:r>
          </w:p>
        </w:tc>
        <w:tc>
          <w:tcPr>
            <w:tcW w:w="6051" w:type="dxa"/>
          </w:tcPr>
          <w:p w14:paraId="4F0357D3" w14:textId="6B90D206" w:rsidR="00594F05" w:rsidRDefault="00594F05" w:rsidP="006C7B5C">
            <w:r>
              <w:t>City Hall facility assessment &amp; analysis of five potential options for the future of City Hall.</w:t>
            </w:r>
          </w:p>
          <w:p w14:paraId="0413C4B0" w14:textId="77777777" w:rsidR="00594F05" w:rsidRDefault="00594F05" w:rsidP="006C7B5C"/>
          <w:p w14:paraId="3C2A9C36" w14:textId="74202DC8" w:rsidR="00594F05" w:rsidRDefault="00260D42" w:rsidP="006C7B5C">
            <w:pPr>
              <w:rPr>
                <w:b/>
                <w:bCs/>
              </w:rPr>
            </w:pPr>
            <w:r>
              <w:t xml:space="preserve">Direction: </w:t>
            </w:r>
            <w:r w:rsidR="00594F05">
              <w:t>Move forward with option 2 Build City Hall and Civic Campus, or option 1 Build City Hall if option 2 is not feasible.</w:t>
            </w:r>
          </w:p>
        </w:tc>
        <w:tc>
          <w:tcPr>
            <w:tcW w:w="1638" w:type="dxa"/>
          </w:tcPr>
          <w:p w14:paraId="059014F3" w14:textId="20A35766" w:rsidR="00594F05" w:rsidRDefault="00260D42" w:rsidP="006C7B5C">
            <w:r>
              <w:t>N/A</w:t>
            </w:r>
          </w:p>
        </w:tc>
      </w:tr>
      <w:tr w:rsidR="00260D42" w14:paraId="25CFC3AC" w14:textId="77777777" w:rsidTr="00260D42">
        <w:tc>
          <w:tcPr>
            <w:tcW w:w="1774" w:type="dxa"/>
            <w:shd w:val="clear" w:color="auto" w:fill="BFBFBF" w:themeFill="background1" w:themeFillShade="BF"/>
          </w:tcPr>
          <w:p w14:paraId="4FAF392E" w14:textId="4B2DE827" w:rsidR="00260D42" w:rsidRDefault="00260D42" w:rsidP="006775C0">
            <w:r>
              <w:t>2023</w:t>
            </w:r>
          </w:p>
        </w:tc>
        <w:tc>
          <w:tcPr>
            <w:tcW w:w="6051" w:type="dxa"/>
            <w:shd w:val="clear" w:color="auto" w:fill="BFBFBF" w:themeFill="background1" w:themeFillShade="BF"/>
          </w:tcPr>
          <w:p w14:paraId="10316E02" w14:textId="77777777" w:rsidR="00260D42" w:rsidRDefault="00260D42" w:rsidP="006775C0"/>
        </w:tc>
        <w:tc>
          <w:tcPr>
            <w:tcW w:w="1638" w:type="dxa"/>
            <w:shd w:val="clear" w:color="auto" w:fill="BFBFBF" w:themeFill="background1" w:themeFillShade="BF"/>
          </w:tcPr>
          <w:p w14:paraId="53560377" w14:textId="77777777" w:rsidR="00260D42" w:rsidRDefault="00260D42" w:rsidP="006775C0"/>
        </w:tc>
      </w:tr>
      <w:tr w:rsidR="00594F05" w14:paraId="3BABDC03" w14:textId="0380602F" w:rsidTr="00260D42">
        <w:tc>
          <w:tcPr>
            <w:tcW w:w="1774" w:type="dxa"/>
          </w:tcPr>
          <w:p w14:paraId="5FF0B688" w14:textId="67AD4A9C" w:rsidR="00594F05" w:rsidRPr="006C7B5C" w:rsidRDefault="00594F05" w:rsidP="006C7B5C">
            <w:r>
              <w:t>08.08.23 CSS</w:t>
            </w:r>
          </w:p>
        </w:tc>
        <w:tc>
          <w:tcPr>
            <w:tcW w:w="6051" w:type="dxa"/>
          </w:tcPr>
          <w:p w14:paraId="30976935" w14:textId="1F5C9432" w:rsidR="00594F05" w:rsidRDefault="00594F05" w:rsidP="00260D42">
            <w:r>
              <w:t>Agenda Bill #6288; A Resolution authorizing the City Manager to site, design and construct a Civic Campus inclusive of a New City Hall and hire both additional staff and consulting services to support the project.</w:t>
            </w:r>
          </w:p>
        </w:tc>
        <w:tc>
          <w:tcPr>
            <w:tcW w:w="1638" w:type="dxa"/>
          </w:tcPr>
          <w:p w14:paraId="6EF69D80" w14:textId="298F9F4F" w:rsidR="00594F05" w:rsidRDefault="00260D42" w:rsidP="006C7B5C">
            <w:r>
              <w:t>Referred to 9.12.23 RCM Consent Agenda</w:t>
            </w:r>
          </w:p>
        </w:tc>
      </w:tr>
      <w:tr w:rsidR="00594F05" w14:paraId="6B539F01" w14:textId="77777777" w:rsidTr="00260D42">
        <w:tc>
          <w:tcPr>
            <w:tcW w:w="1774" w:type="dxa"/>
          </w:tcPr>
          <w:p w14:paraId="68380360" w14:textId="6A64BC66" w:rsidR="00594F05" w:rsidRDefault="00594F05" w:rsidP="006C7B5C">
            <w:r>
              <w:t>09.12.23 RCM</w:t>
            </w:r>
          </w:p>
        </w:tc>
        <w:tc>
          <w:tcPr>
            <w:tcW w:w="6051" w:type="dxa"/>
          </w:tcPr>
          <w:p w14:paraId="47E66699" w14:textId="71E16D6C" w:rsidR="00594F05" w:rsidRDefault="00594F05" w:rsidP="00594F05">
            <w:r>
              <w:t>Agenda Bill #6288; A Resolution #23-007 authorizing the City Manager to site, design and construct a Civic Campus inclusive of a New City Hall and hire both additional staff and consulting services to support the project.</w:t>
            </w:r>
          </w:p>
        </w:tc>
        <w:tc>
          <w:tcPr>
            <w:tcW w:w="1638" w:type="dxa"/>
          </w:tcPr>
          <w:p w14:paraId="6CFAC48F" w14:textId="5151471D" w:rsidR="00594F05" w:rsidRDefault="00594F05" w:rsidP="006C7B5C">
            <w:r>
              <w:t>Res. #23-007</w:t>
            </w:r>
          </w:p>
        </w:tc>
      </w:tr>
      <w:tr w:rsidR="00594F05" w14:paraId="340FA66C" w14:textId="77777777" w:rsidTr="00260D42">
        <w:tc>
          <w:tcPr>
            <w:tcW w:w="1774" w:type="dxa"/>
            <w:shd w:val="clear" w:color="auto" w:fill="BFBFBF" w:themeFill="background1" w:themeFillShade="BF"/>
          </w:tcPr>
          <w:p w14:paraId="4168DD36" w14:textId="1277C45A" w:rsidR="00594F05" w:rsidRDefault="00260D42" w:rsidP="006C7B5C">
            <w:r>
              <w:t>2024</w:t>
            </w:r>
          </w:p>
        </w:tc>
        <w:tc>
          <w:tcPr>
            <w:tcW w:w="6051" w:type="dxa"/>
            <w:shd w:val="clear" w:color="auto" w:fill="BFBFBF" w:themeFill="background1" w:themeFillShade="BF"/>
          </w:tcPr>
          <w:p w14:paraId="6EFB3CC7" w14:textId="77777777" w:rsidR="00594F05" w:rsidRDefault="00594F05" w:rsidP="006C7B5C"/>
        </w:tc>
        <w:tc>
          <w:tcPr>
            <w:tcW w:w="1638" w:type="dxa"/>
            <w:shd w:val="clear" w:color="auto" w:fill="BFBFBF" w:themeFill="background1" w:themeFillShade="BF"/>
          </w:tcPr>
          <w:p w14:paraId="3757882B" w14:textId="77777777" w:rsidR="00594F05" w:rsidRDefault="00594F05" w:rsidP="006C7B5C"/>
        </w:tc>
      </w:tr>
      <w:tr w:rsidR="00594F05" w14:paraId="6824B7FF" w14:textId="06051AB5" w:rsidTr="00260D42">
        <w:tc>
          <w:tcPr>
            <w:tcW w:w="1774" w:type="dxa"/>
          </w:tcPr>
          <w:p w14:paraId="0CF470F0" w14:textId="4FF1FADC" w:rsidR="00594F05" w:rsidRPr="006C7B5C" w:rsidRDefault="00594F05" w:rsidP="006C7B5C">
            <w:r>
              <w:t>03.25.24 RCM</w:t>
            </w:r>
          </w:p>
        </w:tc>
        <w:tc>
          <w:tcPr>
            <w:tcW w:w="6051" w:type="dxa"/>
          </w:tcPr>
          <w:p w14:paraId="189D5DD0" w14:textId="6AD05A68" w:rsidR="00594F05" w:rsidRDefault="00594F05" w:rsidP="006C7B5C">
            <w:r>
              <w:t>Agenda Bill #6393; An Ordinance #24-1009 authorizing the City Manager to execute a contract with JLL, Inc., for owner’s representative services for a new civic campus and amending the 2023-2024 Biennial Budget to provide project funding.</w:t>
            </w:r>
          </w:p>
        </w:tc>
        <w:tc>
          <w:tcPr>
            <w:tcW w:w="1638" w:type="dxa"/>
          </w:tcPr>
          <w:p w14:paraId="75F07191" w14:textId="77777777" w:rsidR="00594F05" w:rsidRDefault="00594F05" w:rsidP="006C7B5C">
            <w:r>
              <w:t>Ord. #24-1009</w:t>
            </w:r>
          </w:p>
          <w:p w14:paraId="0CDE581D" w14:textId="47DA22D5" w:rsidR="00260D42" w:rsidRDefault="00260D42" w:rsidP="006C7B5C">
            <w:proofErr w:type="spellStart"/>
            <w:r>
              <w:t>Agr</w:t>
            </w:r>
            <w:proofErr w:type="spellEnd"/>
            <w:r>
              <w:t>. #24-A077</w:t>
            </w:r>
          </w:p>
        </w:tc>
      </w:tr>
      <w:tr w:rsidR="00594F05" w14:paraId="60CBF8C9" w14:textId="77777777" w:rsidTr="00260D42">
        <w:tc>
          <w:tcPr>
            <w:tcW w:w="1774" w:type="dxa"/>
          </w:tcPr>
          <w:p w14:paraId="5E0C9784" w14:textId="38C5FD1E" w:rsidR="00594F05" w:rsidRDefault="0053333E" w:rsidP="006C7B5C">
            <w:r>
              <w:t>08.13.24 RCM</w:t>
            </w:r>
          </w:p>
          <w:p w14:paraId="217954AA" w14:textId="1281C921" w:rsidR="00594F05" w:rsidRDefault="00594F05" w:rsidP="006C7B5C"/>
        </w:tc>
        <w:tc>
          <w:tcPr>
            <w:tcW w:w="6051" w:type="dxa"/>
          </w:tcPr>
          <w:p w14:paraId="46B1C072" w14:textId="3D5A4E28" w:rsidR="00594F05" w:rsidRDefault="0053333E" w:rsidP="00260D42">
            <w:r>
              <w:t>Agenda Bill #6491; An Ordinance amending the 2023-2024 Biennial Budget to provide additional funding for the advancement of the SeaTac Civic Campus Project and authorizing the Interim City Manager to execute a Phase 2 contract with JLL, the City’s owner representative, as well as on-call contracts as needed to provide services in support of site acquisition, community outreach, financial planning and bond counsel</w:t>
            </w:r>
            <w:r w:rsidR="00260D42">
              <w:t>.</w:t>
            </w:r>
          </w:p>
        </w:tc>
        <w:tc>
          <w:tcPr>
            <w:tcW w:w="1638" w:type="dxa"/>
          </w:tcPr>
          <w:p w14:paraId="2C30A238" w14:textId="233EC31F" w:rsidR="00594F05" w:rsidRDefault="00260D42" w:rsidP="006C7B5C">
            <w:r>
              <w:t>referred to a future CSS.</w:t>
            </w:r>
          </w:p>
        </w:tc>
      </w:tr>
      <w:tr w:rsidR="0053333E" w14:paraId="13AAB7B5" w14:textId="77777777" w:rsidTr="00260D42">
        <w:tc>
          <w:tcPr>
            <w:tcW w:w="1774" w:type="dxa"/>
          </w:tcPr>
          <w:p w14:paraId="7AA889D2" w14:textId="01F16D4F" w:rsidR="0053333E" w:rsidRDefault="0053333E" w:rsidP="006C7B5C">
            <w:r>
              <w:t>09.10.24 CSS</w:t>
            </w:r>
          </w:p>
        </w:tc>
        <w:tc>
          <w:tcPr>
            <w:tcW w:w="6051" w:type="dxa"/>
          </w:tcPr>
          <w:p w14:paraId="2EBC2823" w14:textId="009E047B" w:rsidR="0053333E" w:rsidRDefault="0053333E" w:rsidP="00260D42">
            <w:r>
              <w:t>Agenda Bill #6491; An Ordinance amending the 2023-2024 Biennial Budget to provide additional funding for the advancement of the SeaTac Civic Campus Project and authorizing the Interim City Manager to execute a Phase 2 contract with JLL, the City’s owner representative, as well as on-call contracts as needed to provide services in support of site acquisition, community outreach, financial planning and bond counsel</w:t>
            </w:r>
            <w:r w:rsidR="00260D42">
              <w:t>.</w:t>
            </w:r>
          </w:p>
        </w:tc>
        <w:tc>
          <w:tcPr>
            <w:tcW w:w="1638" w:type="dxa"/>
          </w:tcPr>
          <w:p w14:paraId="73C89339" w14:textId="0749AD00" w:rsidR="00260D42" w:rsidRDefault="00260D42" w:rsidP="00260D42">
            <w:r>
              <w:t>Referred to 09.24.24 RCM Consent Agenda.</w:t>
            </w:r>
          </w:p>
          <w:p w14:paraId="035CA175" w14:textId="77777777" w:rsidR="0053333E" w:rsidRDefault="0053333E" w:rsidP="006C7B5C"/>
        </w:tc>
      </w:tr>
      <w:tr w:rsidR="0053333E" w14:paraId="5942E9D2" w14:textId="77777777" w:rsidTr="00260D42">
        <w:tc>
          <w:tcPr>
            <w:tcW w:w="1774" w:type="dxa"/>
          </w:tcPr>
          <w:p w14:paraId="16FC3617" w14:textId="2BB2A75B" w:rsidR="0053333E" w:rsidRDefault="0053333E" w:rsidP="006775C0">
            <w:r>
              <w:t>09.24.24 RCM</w:t>
            </w:r>
          </w:p>
        </w:tc>
        <w:tc>
          <w:tcPr>
            <w:tcW w:w="6051" w:type="dxa"/>
          </w:tcPr>
          <w:p w14:paraId="607AC7E4" w14:textId="728DF65B" w:rsidR="0053333E" w:rsidRDefault="0053333E" w:rsidP="0053333E">
            <w:r>
              <w:t>Agenda Bill #6491; An Ordinance #24-1018 amending the 2023-2024 Biennial Budget to provide additional funding for the advancement of the SeaTac Civic Campus Project and authorizing the Interim City Manager to execute a Phase 2 contract with JLL, the City’s owner representative, as well as on-call contracts as needed to provide services in support of site acquisition, community outreach, financial planning and bond counsel.</w:t>
            </w:r>
          </w:p>
        </w:tc>
        <w:tc>
          <w:tcPr>
            <w:tcW w:w="1638" w:type="dxa"/>
          </w:tcPr>
          <w:p w14:paraId="55A8A032" w14:textId="77777777" w:rsidR="0053333E" w:rsidRDefault="0053333E" w:rsidP="006775C0">
            <w:r>
              <w:t>Ord. #24-1018</w:t>
            </w:r>
          </w:p>
          <w:p w14:paraId="3B9BF95E" w14:textId="77777777" w:rsidR="00260D42" w:rsidRDefault="00260D42" w:rsidP="006775C0">
            <w:proofErr w:type="spellStart"/>
            <w:r>
              <w:t>Agr</w:t>
            </w:r>
            <w:proofErr w:type="spellEnd"/>
            <w:r>
              <w:t>. #24-A137</w:t>
            </w:r>
          </w:p>
          <w:p w14:paraId="5DF32039" w14:textId="77777777" w:rsidR="00260D42" w:rsidRDefault="00260D42" w:rsidP="006775C0">
            <w:proofErr w:type="spellStart"/>
            <w:r>
              <w:t>Agr</w:t>
            </w:r>
            <w:proofErr w:type="spellEnd"/>
            <w:r>
              <w:t>. #25-A062</w:t>
            </w:r>
          </w:p>
          <w:p w14:paraId="615371D5" w14:textId="11F9A040" w:rsidR="00260D42" w:rsidRDefault="00260D42" w:rsidP="006775C0">
            <w:proofErr w:type="spellStart"/>
            <w:r>
              <w:t>Agr</w:t>
            </w:r>
            <w:proofErr w:type="spellEnd"/>
            <w:r>
              <w:t>. #25-A063</w:t>
            </w:r>
          </w:p>
        </w:tc>
      </w:tr>
      <w:tr w:rsidR="0053333E" w14:paraId="10D97D58" w14:textId="77777777" w:rsidTr="00260D42">
        <w:tc>
          <w:tcPr>
            <w:tcW w:w="1774" w:type="dxa"/>
          </w:tcPr>
          <w:p w14:paraId="5FCB999C" w14:textId="2C933916" w:rsidR="0053333E" w:rsidRDefault="0053333E" w:rsidP="006C7B5C">
            <w:r>
              <w:t>11.19.24 SCSS</w:t>
            </w:r>
          </w:p>
        </w:tc>
        <w:tc>
          <w:tcPr>
            <w:tcW w:w="6051" w:type="dxa"/>
          </w:tcPr>
          <w:p w14:paraId="1F0855AA" w14:textId="7CB51834" w:rsidR="0053333E" w:rsidRDefault="0053333E" w:rsidP="0053333E">
            <w:r>
              <w:t>Review and adoption of the functional program for the Civic Campus Project.</w:t>
            </w:r>
          </w:p>
          <w:p w14:paraId="5833898A" w14:textId="77777777" w:rsidR="00260D42" w:rsidRDefault="00260D42" w:rsidP="0053333E"/>
          <w:p w14:paraId="20D0D6A2" w14:textId="22E4E7FC" w:rsidR="0053333E" w:rsidRDefault="00260D42" w:rsidP="0053333E">
            <w:r>
              <w:t xml:space="preserve">Direction: </w:t>
            </w:r>
            <w:r w:rsidR="0053333E">
              <w:t>Incorporate into the feasibility report.</w:t>
            </w:r>
          </w:p>
        </w:tc>
        <w:tc>
          <w:tcPr>
            <w:tcW w:w="1638" w:type="dxa"/>
          </w:tcPr>
          <w:p w14:paraId="06C6B9FB" w14:textId="139AC76D" w:rsidR="0053333E" w:rsidRDefault="00260D42" w:rsidP="006C7B5C">
            <w:r>
              <w:t>N/A</w:t>
            </w:r>
          </w:p>
        </w:tc>
      </w:tr>
    </w:tbl>
    <w:p w14:paraId="4E32A954" w14:textId="77777777" w:rsidR="00260D42" w:rsidRDefault="00260D42"/>
    <w:p w14:paraId="7A990642" w14:textId="77777777" w:rsidR="00260D42" w:rsidRDefault="00260D42"/>
    <w:tbl>
      <w:tblPr>
        <w:tblStyle w:val="TableGrid"/>
        <w:tblW w:w="9463" w:type="dxa"/>
        <w:tblLook w:val="04A0" w:firstRow="1" w:lastRow="0" w:firstColumn="1" w:lastColumn="0" w:noHBand="0" w:noVBand="1"/>
      </w:tblPr>
      <w:tblGrid>
        <w:gridCol w:w="1774"/>
        <w:gridCol w:w="6051"/>
        <w:gridCol w:w="1638"/>
      </w:tblGrid>
      <w:tr w:rsidR="0053333E" w14:paraId="5AD1DFFF" w14:textId="77777777" w:rsidTr="00260D42">
        <w:tc>
          <w:tcPr>
            <w:tcW w:w="1774" w:type="dxa"/>
            <w:shd w:val="clear" w:color="auto" w:fill="BFBFBF" w:themeFill="background1" w:themeFillShade="BF"/>
          </w:tcPr>
          <w:p w14:paraId="5F5A8791" w14:textId="2CE1F4F6" w:rsidR="0053333E" w:rsidRDefault="00260D42" w:rsidP="006C7B5C">
            <w:r>
              <w:lastRenderedPageBreak/>
              <w:t>2025</w:t>
            </w:r>
          </w:p>
        </w:tc>
        <w:tc>
          <w:tcPr>
            <w:tcW w:w="6051" w:type="dxa"/>
            <w:shd w:val="clear" w:color="auto" w:fill="BFBFBF" w:themeFill="background1" w:themeFillShade="BF"/>
          </w:tcPr>
          <w:p w14:paraId="2F0FBD56" w14:textId="5946632E" w:rsidR="0053333E" w:rsidRDefault="0053333E" w:rsidP="0053333E"/>
        </w:tc>
        <w:tc>
          <w:tcPr>
            <w:tcW w:w="1638" w:type="dxa"/>
            <w:shd w:val="clear" w:color="auto" w:fill="BFBFBF" w:themeFill="background1" w:themeFillShade="BF"/>
          </w:tcPr>
          <w:p w14:paraId="09DF6928" w14:textId="77777777" w:rsidR="0053333E" w:rsidRDefault="0053333E" w:rsidP="006C7B5C"/>
        </w:tc>
      </w:tr>
      <w:tr w:rsidR="00594F05" w14:paraId="717ADA85" w14:textId="48E71984" w:rsidTr="00260D42">
        <w:tc>
          <w:tcPr>
            <w:tcW w:w="1774" w:type="dxa"/>
          </w:tcPr>
          <w:p w14:paraId="1DC470A3" w14:textId="0AF0492E" w:rsidR="00594F05" w:rsidRPr="009E169D" w:rsidRDefault="0053333E" w:rsidP="006C7B5C">
            <w:r>
              <w:t>01.28.25 RCM</w:t>
            </w:r>
          </w:p>
        </w:tc>
        <w:tc>
          <w:tcPr>
            <w:tcW w:w="6051" w:type="dxa"/>
          </w:tcPr>
          <w:p w14:paraId="1421D87C" w14:textId="3FB33DB9" w:rsidR="00594F05" w:rsidRPr="009E169D" w:rsidRDefault="0053333E" w:rsidP="0053333E">
            <w:r>
              <w:t>Agenda Bill #5777; A Motion approving the site evaluation criteria for a civic campus and authorizing the City Manager to proceed with site evaluation including due diligence by sub-contractors was.</w:t>
            </w:r>
          </w:p>
        </w:tc>
        <w:tc>
          <w:tcPr>
            <w:tcW w:w="1638" w:type="dxa"/>
          </w:tcPr>
          <w:p w14:paraId="64CAB3A5" w14:textId="195EE569" w:rsidR="00594F05" w:rsidRPr="009E169D" w:rsidRDefault="0053333E" w:rsidP="006C7B5C">
            <w:r>
              <w:t>AB #5777</w:t>
            </w:r>
          </w:p>
        </w:tc>
      </w:tr>
      <w:tr w:rsidR="00594F05" w14:paraId="4B93B972" w14:textId="737748DD" w:rsidTr="00260D42">
        <w:tc>
          <w:tcPr>
            <w:tcW w:w="1774" w:type="dxa"/>
          </w:tcPr>
          <w:p w14:paraId="32C686CB" w14:textId="4B84A0CD" w:rsidR="00594F05" w:rsidRDefault="0053333E" w:rsidP="006C7B5C">
            <w:r>
              <w:t>02.11.25 RCM</w:t>
            </w:r>
          </w:p>
        </w:tc>
        <w:tc>
          <w:tcPr>
            <w:tcW w:w="6051" w:type="dxa"/>
          </w:tcPr>
          <w:p w14:paraId="641B0741" w14:textId="77777777" w:rsidR="00594F05" w:rsidRDefault="0053333E" w:rsidP="006C7B5C">
            <w:r>
              <w:t>Refer to Council Study Session:</w:t>
            </w:r>
          </w:p>
          <w:p w14:paraId="052DDD69" w14:textId="65F49DC6" w:rsidR="0053333E" w:rsidRPr="009E169D" w:rsidRDefault="0053333E" w:rsidP="006C7B5C">
            <w:r>
              <w:t>Financing options for the Civic Campus project</w:t>
            </w:r>
          </w:p>
        </w:tc>
        <w:tc>
          <w:tcPr>
            <w:tcW w:w="1638" w:type="dxa"/>
          </w:tcPr>
          <w:p w14:paraId="42334B95" w14:textId="01A55F94" w:rsidR="00594F05" w:rsidRPr="009E169D" w:rsidRDefault="00260D42" w:rsidP="006C7B5C">
            <w:r>
              <w:t>Refer to CSS</w:t>
            </w:r>
          </w:p>
        </w:tc>
      </w:tr>
      <w:tr w:rsidR="0053333E" w14:paraId="53FEFEA1" w14:textId="77777777" w:rsidTr="00260D42">
        <w:tc>
          <w:tcPr>
            <w:tcW w:w="1774" w:type="dxa"/>
          </w:tcPr>
          <w:p w14:paraId="7D2329C4" w14:textId="07DD2D19" w:rsidR="0053333E" w:rsidRDefault="0053333E" w:rsidP="006C7B5C">
            <w:r>
              <w:t>02.25.25 RCM</w:t>
            </w:r>
          </w:p>
        </w:tc>
        <w:tc>
          <w:tcPr>
            <w:tcW w:w="6051" w:type="dxa"/>
          </w:tcPr>
          <w:p w14:paraId="49064587" w14:textId="0ECC6FC4" w:rsidR="0053333E" w:rsidRPr="009E169D" w:rsidRDefault="0053333E" w:rsidP="006C7B5C">
            <w:r w:rsidRPr="0053333E">
              <w:t xml:space="preserve">A Resolution </w:t>
            </w:r>
            <w:r>
              <w:t xml:space="preserve">#25-001 </w:t>
            </w:r>
            <w:r w:rsidRPr="0053333E">
              <w:t>formally approving the site evaluation criteria to be used when considering potential civic campus sites and authorizing the City Manager or City's authorized agent to execute any appropriate agreements necessary for evaluation and negotiation of up to four (4) property sites.</w:t>
            </w:r>
          </w:p>
        </w:tc>
        <w:tc>
          <w:tcPr>
            <w:tcW w:w="1638" w:type="dxa"/>
          </w:tcPr>
          <w:p w14:paraId="10A639AB" w14:textId="17131716" w:rsidR="0053333E" w:rsidRPr="009E169D" w:rsidRDefault="0053333E" w:rsidP="006C7B5C">
            <w:r>
              <w:t>Res. #25-001</w:t>
            </w:r>
          </w:p>
        </w:tc>
      </w:tr>
    </w:tbl>
    <w:p w14:paraId="582EF857" w14:textId="17C1AAE3" w:rsidR="00CF50A5" w:rsidRPr="008D60DA" w:rsidRDefault="00CF50A5" w:rsidP="00CF50A5">
      <w:r>
        <w:t xml:space="preserve"> </w:t>
      </w:r>
    </w:p>
    <w:p w14:paraId="1CFA01F7" w14:textId="77777777" w:rsidR="00CF50A5" w:rsidRPr="008D60DA" w:rsidRDefault="00CF50A5" w:rsidP="00CF50A5">
      <w:pPr>
        <w:rPr>
          <w:bCs/>
        </w:rPr>
      </w:pPr>
    </w:p>
    <w:p w14:paraId="7D521A3D" w14:textId="77777777" w:rsidR="00E6750A" w:rsidRDefault="00E6750A"/>
    <w:sectPr w:rsidR="00E6750A" w:rsidSect="00260D42">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0A5"/>
    <w:rsid w:val="00191C5A"/>
    <w:rsid w:val="00231C0A"/>
    <w:rsid w:val="00260D42"/>
    <w:rsid w:val="0053333E"/>
    <w:rsid w:val="00594F05"/>
    <w:rsid w:val="006A29A0"/>
    <w:rsid w:val="006C7B5C"/>
    <w:rsid w:val="007370F4"/>
    <w:rsid w:val="008E2A1F"/>
    <w:rsid w:val="00BD6E86"/>
    <w:rsid w:val="00C97569"/>
    <w:rsid w:val="00CF50A5"/>
    <w:rsid w:val="00D84F3D"/>
    <w:rsid w:val="00E6750A"/>
    <w:rsid w:val="00F57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2E6B7"/>
  <w15:chartTrackingRefBased/>
  <w15:docId w15:val="{E16330A3-C2F4-4678-B5DF-012774D3C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0A5"/>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Heading1">
    <w:name w:val="heading 1"/>
    <w:basedOn w:val="Normal"/>
    <w:next w:val="Normal"/>
    <w:link w:val="Heading1Char"/>
    <w:uiPriority w:val="9"/>
    <w:qFormat/>
    <w:rsid w:val="00CF50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50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50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50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50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50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50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50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50A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0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50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50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50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50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50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50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50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50A5"/>
    <w:rPr>
      <w:rFonts w:eastAsiaTheme="majorEastAsia" w:cstheme="majorBidi"/>
      <w:color w:val="272727" w:themeColor="text1" w:themeTint="D8"/>
    </w:rPr>
  </w:style>
  <w:style w:type="paragraph" w:styleId="Title">
    <w:name w:val="Title"/>
    <w:basedOn w:val="Normal"/>
    <w:next w:val="Normal"/>
    <w:link w:val="TitleChar"/>
    <w:uiPriority w:val="10"/>
    <w:qFormat/>
    <w:rsid w:val="00CF50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0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50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50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50A5"/>
    <w:pPr>
      <w:spacing w:before="160"/>
      <w:jc w:val="center"/>
    </w:pPr>
    <w:rPr>
      <w:i/>
      <w:iCs/>
      <w:color w:val="404040" w:themeColor="text1" w:themeTint="BF"/>
    </w:rPr>
  </w:style>
  <w:style w:type="character" w:customStyle="1" w:styleId="QuoteChar">
    <w:name w:val="Quote Char"/>
    <w:basedOn w:val="DefaultParagraphFont"/>
    <w:link w:val="Quote"/>
    <w:uiPriority w:val="29"/>
    <w:rsid w:val="00CF50A5"/>
    <w:rPr>
      <w:i/>
      <w:iCs/>
      <w:color w:val="404040" w:themeColor="text1" w:themeTint="BF"/>
    </w:rPr>
  </w:style>
  <w:style w:type="paragraph" w:styleId="ListParagraph">
    <w:name w:val="List Paragraph"/>
    <w:basedOn w:val="Normal"/>
    <w:uiPriority w:val="34"/>
    <w:qFormat/>
    <w:rsid w:val="00CF50A5"/>
    <w:pPr>
      <w:ind w:left="720"/>
      <w:contextualSpacing/>
    </w:pPr>
  </w:style>
  <w:style w:type="character" w:styleId="IntenseEmphasis">
    <w:name w:val="Intense Emphasis"/>
    <w:basedOn w:val="DefaultParagraphFont"/>
    <w:uiPriority w:val="21"/>
    <w:qFormat/>
    <w:rsid w:val="00CF50A5"/>
    <w:rPr>
      <w:i/>
      <w:iCs/>
      <w:color w:val="0F4761" w:themeColor="accent1" w:themeShade="BF"/>
    </w:rPr>
  </w:style>
  <w:style w:type="paragraph" w:styleId="IntenseQuote">
    <w:name w:val="Intense Quote"/>
    <w:basedOn w:val="Normal"/>
    <w:next w:val="Normal"/>
    <w:link w:val="IntenseQuoteChar"/>
    <w:uiPriority w:val="30"/>
    <w:qFormat/>
    <w:rsid w:val="00CF50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50A5"/>
    <w:rPr>
      <w:i/>
      <w:iCs/>
      <w:color w:val="0F4761" w:themeColor="accent1" w:themeShade="BF"/>
    </w:rPr>
  </w:style>
  <w:style w:type="character" w:styleId="IntenseReference">
    <w:name w:val="Intense Reference"/>
    <w:basedOn w:val="DefaultParagraphFont"/>
    <w:uiPriority w:val="32"/>
    <w:qFormat/>
    <w:rsid w:val="00CF50A5"/>
    <w:rPr>
      <w:b/>
      <w:bCs/>
      <w:smallCaps/>
      <w:color w:val="0F4761" w:themeColor="accent1" w:themeShade="BF"/>
      <w:spacing w:val="5"/>
    </w:rPr>
  </w:style>
  <w:style w:type="table" w:styleId="TableGrid">
    <w:name w:val="Table Grid"/>
    <w:basedOn w:val="TableNormal"/>
    <w:uiPriority w:val="39"/>
    <w:rsid w:val="006C7B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d1292b-a307-4d1d-9eda-c7d063b86b42">
      <Terms xmlns="http://schemas.microsoft.com/office/infopath/2007/PartnerControls"/>
    </lcf76f155ced4ddcb4097134ff3c332f>
    <TaxCatchAll xmlns="295aca4b-5fba-4ad2-b771-1b7b3ca56b1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A853AF7E5640439B0CBF5665BE6688" ma:contentTypeVersion="13" ma:contentTypeDescription="Create a new document." ma:contentTypeScope="" ma:versionID="9ef6efe6f6d3fd0246a9e6057e03d623">
  <xsd:schema xmlns:xsd="http://www.w3.org/2001/XMLSchema" xmlns:xs="http://www.w3.org/2001/XMLSchema" xmlns:p="http://schemas.microsoft.com/office/2006/metadata/properties" xmlns:ns2="295aca4b-5fba-4ad2-b771-1b7b3ca56b15" xmlns:ns3="a1d1292b-a307-4d1d-9eda-c7d063b86b42" targetNamespace="http://schemas.microsoft.com/office/2006/metadata/properties" ma:root="true" ma:fieldsID="b4a17437a84304990db26cf7d08dd634" ns2:_="" ns3:_="">
    <xsd:import namespace="295aca4b-5fba-4ad2-b771-1b7b3ca56b15"/>
    <xsd:import namespace="a1d1292b-a307-4d1d-9eda-c7d063b86b4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aca4b-5fba-4ad2-b771-1b7b3ca56b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ba25b7-a13d-4f26-959c-ecfd8e62e340}" ma:internalName="TaxCatchAll" ma:showField="CatchAllData" ma:web="295aca4b-5fba-4ad2-b771-1b7b3ca56b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1292b-a307-4d1d-9eda-c7d063b86b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aac18ef-2ed8-4937-9709-57a29784e3c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10204-8A6C-44AC-AFD6-8A6B274E024C}">
  <ds:schemaRefs>
    <ds:schemaRef ds:uri="http://schemas.microsoft.com/office/2006/metadata/properties"/>
    <ds:schemaRef ds:uri="http://schemas.microsoft.com/office/infopath/2007/PartnerControls"/>
    <ds:schemaRef ds:uri="a1d1292b-a307-4d1d-9eda-c7d063b86b42"/>
    <ds:schemaRef ds:uri="295aca4b-5fba-4ad2-b771-1b7b3ca56b15"/>
  </ds:schemaRefs>
</ds:datastoreItem>
</file>

<file path=customXml/itemProps2.xml><?xml version="1.0" encoding="utf-8"?>
<ds:datastoreItem xmlns:ds="http://schemas.openxmlformats.org/officeDocument/2006/customXml" ds:itemID="{267D8594-E311-4FC4-B62F-BEFF93A35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aca4b-5fba-4ad2-b771-1b7b3ca56b15"/>
    <ds:schemaRef ds:uri="a1d1292b-a307-4d1d-9eda-c7d063b86b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F8E20-4A64-4595-A0A0-A6676CCA22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City of SeaTac</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Gregg</dc:creator>
  <cp:keywords/>
  <dc:description/>
  <cp:lastModifiedBy>Nancy Standifer</cp:lastModifiedBy>
  <cp:revision>2</cp:revision>
  <dcterms:created xsi:type="dcterms:W3CDTF">2025-04-23T20:18:00Z</dcterms:created>
  <dcterms:modified xsi:type="dcterms:W3CDTF">2025-04-23T20:18:00Z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0x01010081A853AF7E5640439B0CBF5665BE6688</vt:lpwstr>
  </property>
</Properties>
</file>